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5838" w14:textId="697FE0A8" w:rsidR="00BD7067" w:rsidRDefault="00190DFF">
      <w:r>
        <w:rPr>
          <w:noProof/>
          <w:lang w:eastAsia="en-AU"/>
        </w:rPr>
        <w:drawing>
          <wp:anchor distT="0" distB="0" distL="114300" distR="114300" simplePos="0" relativeHeight="251666432" behindDoc="0" locked="0" layoutInCell="1" allowOverlap="1" wp14:anchorId="513BC564" wp14:editId="7D1078B2">
            <wp:simplePos x="0" y="0"/>
            <wp:positionH relativeFrom="column">
              <wp:posOffset>-285750</wp:posOffset>
            </wp:positionH>
            <wp:positionV relativeFrom="paragraph">
              <wp:posOffset>154305</wp:posOffset>
            </wp:positionV>
            <wp:extent cx="1466850" cy="457200"/>
            <wp:effectExtent l="19050" t="0" r="0" b="0"/>
            <wp:wrapNone/>
            <wp:docPr id="6" name="Picture 1" descr="G:\pco\6 Legislation Register\Legislation register replacement project (J2013-357)\6_Implementation\Phase 2 - Register Replacement\8_UAT\2_Guides &amp; Procedures\Fact sheets\ACTGov_JaCS_inline_r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co\6 Legislation Register\Legislation register replacement project (J2013-357)\6_Implementation\Phase 2 - Register Replacement\8_UAT\2_Guides &amp; Procedures\Fact sheets\ACTGov_JaCS_inline_re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A6C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35007" wp14:editId="11A7B2B7">
                <wp:simplePos x="0" y="0"/>
                <wp:positionH relativeFrom="column">
                  <wp:posOffset>-533400</wp:posOffset>
                </wp:positionH>
                <wp:positionV relativeFrom="paragraph">
                  <wp:posOffset>14605</wp:posOffset>
                </wp:positionV>
                <wp:extent cx="6819900" cy="930275"/>
                <wp:effectExtent l="9525" t="12700" r="76200" b="762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9FC22F" w14:textId="3092B2F4" w:rsidR="00190DFF" w:rsidRPr="00190DFF" w:rsidRDefault="00190DFF" w:rsidP="00184ADB">
                            <w:pPr>
                              <w:spacing w:before="120" w:after="0"/>
                              <w:ind w:left="3402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90DF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35007" id="AutoShape 4" o:spid="_x0000_s1026" style="position:absolute;margin-left:-42pt;margin-top:1.15pt;width:537pt;height: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" fillcolor="#0070c0">
                <v:shadow on="t" opacity=".5" offset="6pt,6pt"/>
                <v:textbox>
                  <w:txbxContent>
                    <w:p w14:paraId="4A9FC22F" w14:textId="3092B2F4" w:rsidR="00190DFF" w:rsidRPr="00190DFF" w:rsidRDefault="00190DFF" w:rsidP="00184ADB">
                      <w:pPr>
                        <w:spacing w:before="120" w:after="0"/>
                        <w:ind w:left="3402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190DFF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FACT SHEET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BF2420" w14:textId="74715006" w:rsidR="00FF3E26" w:rsidRDefault="002D2A6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2170D" wp14:editId="5942D850">
                <wp:simplePos x="0" y="0"/>
                <wp:positionH relativeFrom="column">
                  <wp:posOffset>-323850</wp:posOffset>
                </wp:positionH>
                <wp:positionV relativeFrom="paragraph">
                  <wp:posOffset>307340</wp:posOffset>
                </wp:positionV>
                <wp:extent cx="1885950" cy="24765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1B0A0" w14:textId="77777777" w:rsidR="00190DFF" w:rsidRPr="00190DFF" w:rsidRDefault="00190DFF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DF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ACT Parliamentary Counsel’s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2170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-25.5pt;margin-top:24.2pt;width:148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" filled="f" stroked="f">
                <v:textbox>
                  <w:txbxContent>
                    <w:p w14:paraId="2F01B0A0" w14:textId="77777777" w:rsidR="00190DFF" w:rsidRPr="00190DFF" w:rsidRDefault="00190DFF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90DFF">
                        <w:rPr>
                          <w:color w:val="FFFFFF" w:themeColor="background1"/>
                          <w:sz w:val="18"/>
                          <w:szCs w:val="18"/>
                        </w:rPr>
                        <w:t>ACT Parliamentary Counsel’s Office</w:t>
                      </w:r>
                    </w:p>
                  </w:txbxContent>
                </v:textbox>
              </v:shape>
            </w:pict>
          </mc:Fallback>
        </mc:AlternateContent>
      </w:r>
    </w:p>
    <w:p w14:paraId="16D9B9EB" w14:textId="77777777" w:rsidR="00FF3E26" w:rsidRDefault="00FF3E26"/>
    <w:p w14:paraId="39BE1B21" w14:textId="409105CA" w:rsidR="00BD7067" w:rsidRPr="00812F2F" w:rsidRDefault="00812F2F" w:rsidP="00184ADB">
      <w:pPr>
        <w:spacing w:before="480" w:after="0"/>
        <w:ind w:left="1276" w:right="-755" w:hanging="1702"/>
        <w:rPr>
          <w:sz w:val="52"/>
          <w:szCs w:val="52"/>
        </w:rPr>
      </w:pPr>
      <w:r w:rsidRPr="00812F2F">
        <w:rPr>
          <w:sz w:val="52"/>
          <w:szCs w:val="52"/>
        </w:rPr>
        <w:t xml:space="preserve">TOPIC:  </w:t>
      </w:r>
      <w:r w:rsidR="00184ADB">
        <w:rPr>
          <w:sz w:val="52"/>
          <w:szCs w:val="52"/>
        </w:rPr>
        <w:t>PCO’s editorial renumbering publishing practice</w:t>
      </w:r>
    </w:p>
    <w:p w14:paraId="4D2381A7" w14:textId="77777777" w:rsidR="00BD7067" w:rsidRDefault="00BD7067" w:rsidP="00B563ED">
      <w:pPr>
        <w:pBdr>
          <w:top w:val="single" w:sz="4" w:space="1" w:color="auto"/>
        </w:pBdr>
        <w:spacing w:after="0"/>
        <w:ind w:left="-426" w:right="-472"/>
      </w:pPr>
    </w:p>
    <w:p w14:paraId="793083A0" w14:textId="7955F74F" w:rsidR="00263B24" w:rsidRDefault="00263B24" w:rsidP="00F445B7">
      <w:pPr>
        <w:pStyle w:val="ListParagraph"/>
        <w:numPr>
          <w:ilvl w:val="0"/>
          <w:numId w:val="2"/>
        </w:numPr>
        <w:spacing w:after="0"/>
        <w:ind w:left="0" w:right="-330" w:hanging="357"/>
        <w:contextualSpacing w:val="0"/>
      </w:pPr>
      <w:r w:rsidRPr="00263B24">
        <w:t xml:space="preserve">The </w:t>
      </w:r>
      <w:r w:rsidRPr="00263B24">
        <w:rPr>
          <w:i/>
          <w:iCs/>
        </w:rPr>
        <w:t>Legislation Act 2001</w:t>
      </w:r>
      <w:r w:rsidRPr="00263B24">
        <w:t>, part 11.3 authorises the Parliamentary Counsel to make editorial amendments and other changes of a formal nature when preparing a law for republication</w:t>
      </w:r>
      <w:r w:rsidR="00B00E81">
        <w:t>, including</w:t>
      </w:r>
      <w:r w:rsidR="004C42FE">
        <w:t xml:space="preserve"> changes that are</w:t>
      </w:r>
      <w:r w:rsidR="004C42FE" w:rsidRPr="004C42FE">
        <w:t xml:space="preserve"> consequential on any amendment made to the law by another law</w:t>
      </w:r>
      <w:r w:rsidR="004C42FE">
        <w:t>.</w:t>
      </w:r>
      <w:r w:rsidR="004C42FE">
        <w:br/>
      </w:r>
      <w:r w:rsidR="004C42FE" w:rsidRPr="00263B24">
        <w:t>See section</w:t>
      </w:r>
      <w:r w:rsidR="004C42FE">
        <w:t> </w:t>
      </w:r>
      <w:r w:rsidR="004C42FE" w:rsidRPr="00263B24">
        <w:t xml:space="preserve">116 of the </w:t>
      </w:r>
      <w:hyperlink r:id="rId6" w:history="1">
        <w:r w:rsidR="004C42FE" w:rsidRPr="00263B24">
          <w:rPr>
            <w:rStyle w:val="Hyperlink"/>
          </w:rPr>
          <w:t>Legislation Act</w:t>
        </w:r>
      </w:hyperlink>
      <w:r w:rsidR="004C42FE" w:rsidRPr="00263B24">
        <w:t>.</w:t>
      </w:r>
    </w:p>
    <w:p w14:paraId="2586E279" w14:textId="77777777" w:rsidR="00263B24" w:rsidRDefault="00263B24" w:rsidP="00263B24">
      <w:pPr>
        <w:spacing w:after="0"/>
        <w:ind w:left="-357" w:right="-330"/>
      </w:pPr>
    </w:p>
    <w:p w14:paraId="6631B424" w14:textId="7F15F5AF" w:rsidR="00AA43BA" w:rsidRDefault="00263B24" w:rsidP="00F445B7">
      <w:pPr>
        <w:pStyle w:val="ListParagraph"/>
        <w:numPr>
          <w:ilvl w:val="0"/>
          <w:numId w:val="2"/>
        </w:numPr>
        <w:spacing w:after="0"/>
        <w:ind w:left="0" w:right="-330" w:hanging="357"/>
        <w:contextualSpacing w:val="0"/>
      </w:pPr>
      <w:r w:rsidRPr="00263B24">
        <w:t xml:space="preserve">It is </w:t>
      </w:r>
      <w:r>
        <w:t>PCO’s</w:t>
      </w:r>
      <w:r w:rsidRPr="00263B24">
        <w:t xml:space="preserve"> publishing practice to renumber provisions below section level to update the numerical or alphabetical sequence</w:t>
      </w:r>
      <w:r w:rsidR="001A1CFC">
        <w:t xml:space="preserve"> </w:t>
      </w:r>
      <w:r w:rsidR="001A1CFC" w:rsidRPr="004C42FE">
        <w:t>consequential on an amendment made to the law by another law</w:t>
      </w:r>
      <w:r w:rsidRPr="00263B24">
        <w:t>.</w:t>
      </w:r>
      <w:r w:rsidR="001A1CFC">
        <w:br/>
        <w:t>For example:</w:t>
      </w:r>
    </w:p>
    <w:p w14:paraId="49122231" w14:textId="0D2B1ABE" w:rsidR="001A1CFC" w:rsidRPr="001A1CFC" w:rsidRDefault="001A1CFC" w:rsidP="001A1CFC">
      <w:pPr>
        <w:pStyle w:val="aExamINumss"/>
        <w:tabs>
          <w:tab w:val="clear" w:pos="1500"/>
          <w:tab w:val="left" w:pos="567"/>
        </w:tabs>
        <w:ind w:left="567"/>
      </w:pPr>
      <w:r>
        <w:t>1</w:t>
      </w:r>
      <w:r w:rsidRPr="001A1CFC">
        <w:tab/>
        <w:t>If an amendment omits subsection (2) from a series of 4 subsections (subsections (1) to (4)), subsections</w:t>
      </w:r>
      <w:r w:rsidR="00755D22">
        <w:t> </w:t>
      </w:r>
      <w:r w:rsidRPr="001A1CFC">
        <w:t>(3) and (4) may be renumbered as subsections (2) and (3).</w:t>
      </w:r>
    </w:p>
    <w:p w14:paraId="57B68FC2" w14:textId="31ACF308" w:rsidR="001A1CFC" w:rsidRPr="001A1CFC" w:rsidRDefault="001A1CFC" w:rsidP="001A1CFC">
      <w:pPr>
        <w:pStyle w:val="aExamINumss"/>
        <w:tabs>
          <w:tab w:val="clear" w:pos="1500"/>
          <w:tab w:val="left" w:pos="567"/>
        </w:tabs>
        <w:ind w:left="567"/>
      </w:pPr>
      <w:r>
        <w:t>2</w:t>
      </w:r>
      <w:r w:rsidRPr="001A1CFC">
        <w:tab/>
        <w:t>If an amendment adds a new subsection (3A) to a series of 5 subsections (subsections (1) to (5)), the new subsection and subsections (4) and (5) may be renumbered as subsections (4), (5), and (6).</w:t>
      </w:r>
    </w:p>
    <w:p w14:paraId="11B5FD24" w14:textId="7FF33270" w:rsidR="001A1CFC" w:rsidRPr="001A1CFC" w:rsidRDefault="001A1CFC" w:rsidP="001A1CFC">
      <w:pPr>
        <w:pStyle w:val="aExamINumss"/>
        <w:tabs>
          <w:tab w:val="clear" w:pos="1500"/>
          <w:tab w:val="left" w:pos="567"/>
        </w:tabs>
        <w:ind w:left="567"/>
      </w:pPr>
      <w:r>
        <w:t>3</w:t>
      </w:r>
      <w:r w:rsidRPr="001A1CFC">
        <w:tab/>
        <w:t>If an amendment omits paragraph (b) from a series of 4 paragraphs (paragraphs (a) to (d)), paragraphs (c) and (d) may be renumbered as paragraphs (b) and (c).</w:t>
      </w:r>
    </w:p>
    <w:p w14:paraId="0DBD04A1" w14:textId="2FFD2D0B" w:rsidR="001A1CFC" w:rsidRPr="001A1CFC" w:rsidRDefault="001A1CFC" w:rsidP="001A1CFC">
      <w:pPr>
        <w:pStyle w:val="aExamINumss"/>
        <w:tabs>
          <w:tab w:val="clear" w:pos="1500"/>
          <w:tab w:val="left" w:pos="567"/>
        </w:tabs>
        <w:ind w:left="567"/>
      </w:pPr>
      <w:r>
        <w:t>4</w:t>
      </w:r>
      <w:r w:rsidRPr="001A1CFC">
        <w:tab/>
        <w:t>If an amendment adds a new paragraph (aa) to a series of 3 paragraphs (paragraphs (a) to (c)), the paragraphs may be renumbered as paragraphs (a), (b), (c) and (d).</w:t>
      </w:r>
    </w:p>
    <w:p w14:paraId="1BD8A611" w14:textId="77777777" w:rsidR="00F117E2" w:rsidRDefault="00F117E2" w:rsidP="00F117E2">
      <w:pPr>
        <w:spacing w:after="0"/>
        <w:ind w:left="-357" w:right="-330"/>
      </w:pPr>
    </w:p>
    <w:p w14:paraId="61679D9C" w14:textId="6F6DE8E3" w:rsidR="00D5406B" w:rsidRDefault="00755D22" w:rsidP="00D5406B">
      <w:pPr>
        <w:pStyle w:val="ListParagraph"/>
        <w:numPr>
          <w:ilvl w:val="0"/>
          <w:numId w:val="2"/>
        </w:numPr>
        <w:spacing w:after="120"/>
        <w:ind w:left="0" w:right="-330" w:hanging="357"/>
        <w:contextualSpacing w:val="0"/>
      </w:pPr>
      <w:r w:rsidRPr="00755D22">
        <w:t>There is a statement on the inside front cover of each version of a law indicating whether editorial amendments have been made.</w:t>
      </w:r>
    </w:p>
    <w:p w14:paraId="5F1655CB" w14:textId="71C28CC3" w:rsidR="00F117E2" w:rsidRDefault="00F64F35" w:rsidP="00755D22">
      <w:pPr>
        <w:spacing w:after="0"/>
        <w:ind w:left="142" w:right="-330"/>
      </w:pPr>
      <w:r>
        <w:rPr>
          <w:noProof/>
        </w:rPr>
        <w:drawing>
          <wp:inline distT="0" distB="0" distL="0" distR="0" wp14:anchorId="4F9F1711" wp14:editId="2544B554">
            <wp:extent cx="500062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62AB4" w14:textId="77777777" w:rsidR="0050738D" w:rsidRDefault="0050738D" w:rsidP="00DD2199">
      <w:pPr>
        <w:spacing w:after="0"/>
        <w:ind w:left="-357" w:right="-330"/>
      </w:pPr>
    </w:p>
    <w:p w14:paraId="7701330C" w14:textId="6987518D" w:rsidR="00D5406B" w:rsidRDefault="001D1891" w:rsidP="00D5406B">
      <w:pPr>
        <w:pStyle w:val="ListParagraph"/>
        <w:numPr>
          <w:ilvl w:val="0"/>
          <w:numId w:val="2"/>
        </w:numPr>
        <w:spacing w:after="120"/>
        <w:ind w:left="0" w:right="-330" w:hanging="357"/>
        <w:contextualSpacing w:val="0"/>
      </w:pPr>
      <w:r w:rsidRPr="001D1891">
        <w:t xml:space="preserve">Additionally, the amendment history in the </w:t>
      </w:r>
      <w:r w:rsidR="00F57EA3">
        <w:t>e</w:t>
      </w:r>
      <w:r w:rsidRPr="001D1891">
        <w:t>ndnotes</w:t>
      </w:r>
      <w:r>
        <w:t xml:space="preserve"> of a law</w:t>
      </w:r>
      <w:r w:rsidRPr="001D1891">
        <w:t xml:space="preserve"> is annotated </w:t>
      </w:r>
      <w:r w:rsidR="00F57EA3">
        <w:t xml:space="preserve">to show </w:t>
      </w:r>
      <w:r w:rsidRPr="001D1891">
        <w:t xml:space="preserve">that </w:t>
      </w:r>
      <w:r>
        <w:t>the section</w:t>
      </w:r>
      <w:r w:rsidRPr="001D1891">
        <w:t xml:space="preserve"> has been amended by </w:t>
      </w:r>
      <w:r w:rsidR="00F64F35">
        <w:t xml:space="preserve">a particular law </w:t>
      </w:r>
      <w:r w:rsidR="00F57EA3">
        <w:t>(for example,</w:t>
      </w:r>
      <w:r w:rsidR="00F64F35">
        <w:t xml:space="preserve"> A2013-30</w:t>
      </w:r>
      <w:r w:rsidRPr="001D1891">
        <w:t xml:space="preserve"> </w:t>
      </w:r>
      <w:r w:rsidR="00F57EA3">
        <w:t>highlighted below),</w:t>
      </w:r>
      <w:r w:rsidRPr="001D1891">
        <w:t xml:space="preserve"> that the </w:t>
      </w:r>
      <w:r w:rsidR="00F64F35">
        <w:t xml:space="preserve">subsections, </w:t>
      </w:r>
      <w:r w:rsidRPr="001D1891">
        <w:t>paragraphs</w:t>
      </w:r>
      <w:r w:rsidR="00F64F35">
        <w:t xml:space="preserve"> or subparagraphs</w:t>
      </w:r>
      <w:r w:rsidRPr="001D1891">
        <w:t xml:space="preserve"> have been renumbered under the Legislation Act</w:t>
      </w:r>
      <w:r w:rsidR="00F57EA3">
        <w:t>,</w:t>
      </w:r>
      <w:r w:rsidR="00F64F35">
        <w:t xml:space="preserve"> and in which republication this has been done</w:t>
      </w:r>
      <w:r w:rsidRPr="001D1891">
        <w:t>.</w:t>
      </w:r>
    </w:p>
    <w:p w14:paraId="041056B6" w14:textId="6B764AB4" w:rsidR="00D5406B" w:rsidRDefault="001D1891" w:rsidP="00F64F35">
      <w:pPr>
        <w:spacing w:after="0"/>
        <w:ind w:left="142" w:right="-330"/>
      </w:pPr>
      <w:r>
        <w:rPr>
          <w:noProof/>
        </w:rPr>
        <w:drawing>
          <wp:inline distT="0" distB="0" distL="0" distR="0" wp14:anchorId="341CD633" wp14:editId="51523147">
            <wp:extent cx="4124325" cy="752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733F6" w14:textId="77777777" w:rsidR="00F117E2" w:rsidRDefault="00F117E2" w:rsidP="00DD2199">
      <w:pPr>
        <w:spacing w:after="0"/>
        <w:ind w:left="-357" w:right="-330"/>
      </w:pPr>
    </w:p>
    <w:p w14:paraId="64915B0D" w14:textId="77777777" w:rsidR="00F117E2" w:rsidRDefault="00F117E2" w:rsidP="00DD2199">
      <w:pPr>
        <w:spacing w:after="0"/>
        <w:ind w:left="-357" w:right="-330"/>
      </w:pPr>
    </w:p>
    <w:p w14:paraId="375EF723" w14:textId="5375F8EF" w:rsidR="00B563ED" w:rsidRDefault="00B563ED" w:rsidP="00B563ED">
      <w:pPr>
        <w:pBdr>
          <w:top w:val="single" w:sz="4" w:space="1" w:color="auto"/>
        </w:pBdr>
        <w:ind w:left="-426" w:right="-472"/>
        <w:jc w:val="right"/>
      </w:pPr>
      <w:r w:rsidRPr="008B5509">
        <w:rPr>
          <w:b/>
          <w:sz w:val="16"/>
          <w:szCs w:val="16"/>
        </w:rPr>
        <w:t xml:space="preserve">Version 1 – </w:t>
      </w:r>
      <w:r w:rsidR="00184ADB">
        <w:rPr>
          <w:b/>
          <w:sz w:val="16"/>
          <w:szCs w:val="16"/>
        </w:rPr>
        <w:t>1</w:t>
      </w:r>
      <w:r w:rsidR="00666A3B">
        <w:rPr>
          <w:b/>
          <w:sz w:val="16"/>
          <w:szCs w:val="16"/>
        </w:rPr>
        <w:t>5</w:t>
      </w:r>
      <w:r w:rsidRPr="008B5509">
        <w:rPr>
          <w:b/>
          <w:sz w:val="16"/>
          <w:szCs w:val="16"/>
        </w:rPr>
        <w:t>/</w:t>
      </w:r>
      <w:r w:rsidR="00184ADB">
        <w:rPr>
          <w:b/>
          <w:sz w:val="16"/>
          <w:szCs w:val="16"/>
        </w:rPr>
        <w:t>0</w:t>
      </w:r>
      <w:r w:rsidR="00666A3B">
        <w:rPr>
          <w:b/>
          <w:sz w:val="16"/>
          <w:szCs w:val="16"/>
        </w:rPr>
        <w:t>2</w:t>
      </w:r>
      <w:r w:rsidRPr="008B5509">
        <w:rPr>
          <w:b/>
          <w:sz w:val="16"/>
          <w:szCs w:val="16"/>
        </w:rPr>
        <w:t>/20</w:t>
      </w:r>
      <w:r w:rsidR="00184ADB">
        <w:rPr>
          <w:b/>
          <w:sz w:val="16"/>
          <w:szCs w:val="16"/>
        </w:rPr>
        <w:t>22</w:t>
      </w:r>
    </w:p>
    <w:sectPr w:rsidR="00B563ED" w:rsidSect="00B563ED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350F"/>
    <w:multiLevelType w:val="multilevel"/>
    <w:tmpl w:val="BD5AD190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100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0"/>
        </w:tabs>
        <w:ind w:left="1000" w:hanging="100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0"/>
        </w:tabs>
        <w:ind w:left="1000" w:hanging="100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000" w:hanging="100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4104B4"/>
    <w:multiLevelType w:val="hybridMultilevel"/>
    <w:tmpl w:val="254AEA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67"/>
    <w:rsid w:val="000A7529"/>
    <w:rsid w:val="000D6A6E"/>
    <w:rsid w:val="0014624B"/>
    <w:rsid w:val="00184ADB"/>
    <w:rsid w:val="00190DFF"/>
    <w:rsid w:val="00192ED0"/>
    <w:rsid w:val="001A1CFC"/>
    <w:rsid w:val="001D16AA"/>
    <w:rsid w:val="001D1891"/>
    <w:rsid w:val="00217A4B"/>
    <w:rsid w:val="00234674"/>
    <w:rsid w:val="00263B24"/>
    <w:rsid w:val="002B0C63"/>
    <w:rsid w:val="002D2A6C"/>
    <w:rsid w:val="0039424D"/>
    <w:rsid w:val="003A65B1"/>
    <w:rsid w:val="003F0ADF"/>
    <w:rsid w:val="00405CAF"/>
    <w:rsid w:val="00443240"/>
    <w:rsid w:val="0044422D"/>
    <w:rsid w:val="00464DC9"/>
    <w:rsid w:val="004657C8"/>
    <w:rsid w:val="00477E41"/>
    <w:rsid w:val="00481626"/>
    <w:rsid w:val="004B0453"/>
    <w:rsid w:val="004C42FE"/>
    <w:rsid w:val="00502A10"/>
    <w:rsid w:val="0050738D"/>
    <w:rsid w:val="00534FC7"/>
    <w:rsid w:val="005547DF"/>
    <w:rsid w:val="00586AE6"/>
    <w:rsid w:val="005C3B70"/>
    <w:rsid w:val="005D375F"/>
    <w:rsid w:val="00601073"/>
    <w:rsid w:val="00627E64"/>
    <w:rsid w:val="0064128B"/>
    <w:rsid w:val="00666A3B"/>
    <w:rsid w:val="006B4DA6"/>
    <w:rsid w:val="006C501A"/>
    <w:rsid w:val="007208CF"/>
    <w:rsid w:val="00747913"/>
    <w:rsid w:val="00755D22"/>
    <w:rsid w:val="007566BB"/>
    <w:rsid w:val="00812F2F"/>
    <w:rsid w:val="00826316"/>
    <w:rsid w:val="0086298D"/>
    <w:rsid w:val="0088753B"/>
    <w:rsid w:val="008B5509"/>
    <w:rsid w:val="00944E2A"/>
    <w:rsid w:val="00960F22"/>
    <w:rsid w:val="00984452"/>
    <w:rsid w:val="009A41C2"/>
    <w:rsid w:val="00A625D9"/>
    <w:rsid w:val="00A7281D"/>
    <w:rsid w:val="00A76038"/>
    <w:rsid w:val="00A8112A"/>
    <w:rsid w:val="00A93C7F"/>
    <w:rsid w:val="00AA43BA"/>
    <w:rsid w:val="00AC7F98"/>
    <w:rsid w:val="00AE0470"/>
    <w:rsid w:val="00B00E81"/>
    <w:rsid w:val="00B2037C"/>
    <w:rsid w:val="00B27474"/>
    <w:rsid w:val="00B563ED"/>
    <w:rsid w:val="00BA4BDA"/>
    <w:rsid w:val="00BA4C3C"/>
    <w:rsid w:val="00BD5306"/>
    <w:rsid w:val="00BD7067"/>
    <w:rsid w:val="00C53BE8"/>
    <w:rsid w:val="00CB52BC"/>
    <w:rsid w:val="00CC39EC"/>
    <w:rsid w:val="00D34AB0"/>
    <w:rsid w:val="00D5406B"/>
    <w:rsid w:val="00D77CA7"/>
    <w:rsid w:val="00D82B32"/>
    <w:rsid w:val="00DA34BF"/>
    <w:rsid w:val="00DD2199"/>
    <w:rsid w:val="00DE1059"/>
    <w:rsid w:val="00E22BD3"/>
    <w:rsid w:val="00E2472E"/>
    <w:rsid w:val="00E4077D"/>
    <w:rsid w:val="00E7299E"/>
    <w:rsid w:val="00E93533"/>
    <w:rsid w:val="00E96979"/>
    <w:rsid w:val="00EB24FA"/>
    <w:rsid w:val="00F117E2"/>
    <w:rsid w:val="00F132E7"/>
    <w:rsid w:val="00F445B7"/>
    <w:rsid w:val="00F57EA3"/>
    <w:rsid w:val="00F64F35"/>
    <w:rsid w:val="00FD46EB"/>
    <w:rsid w:val="00FE633E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07FB"/>
  <w15:docId w15:val="{2FA0E351-B16A-4D6F-BF74-550AFBE5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59"/>
  </w:style>
  <w:style w:type="paragraph" w:styleId="Heading1">
    <w:name w:val="heading 1"/>
    <w:basedOn w:val="Normal"/>
    <w:next w:val="Heading2"/>
    <w:link w:val="Heading1Char"/>
    <w:autoRedefine/>
    <w:qFormat/>
    <w:rsid w:val="00477E41"/>
    <w:pPr>
      <w:keepNext/>
      <w:numPr>
        <w:numId w:val="1"/>
      </w:numPr>
      <w:tabs>
        <w:tab w:val="clear" w:pos="1000"/>
        <w:tab w:val="left" w:pos="1200"/>
      </w:tabs>
      <w:spacing w:after="0" w:line="240" w:lineRule="auto"/>
      <w:ind w:left="1200" w:hanging="1200"/>
      <w:outlineLvl w:val="0"/>
    </w:pPr>
    <w:rPr>
      <w:rFonts w:ascii="Arial" w:eastAsia="Times New Roman" w:hAnsi="Arial" w:cs="Times New Roman"/>
      <w:b/>
      <w:kern w:val="28"/>
      <w:sz w:val="36"/>
      <w:szCs w:val="20"/>
    </w:rPr>
  </w:style>
  <w:style w:type="paragraph" w:styleId="Heading2">
    <w:name w:val="heading 2"/>
    <w:basedOn w:val="Normal"/>
    <w:next w:val="Heading3"/>
    <w:link w:val="Heading2Char"/>
    <w:qFormat/>
    <w:rsid w:val="00477E4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link w:val="Heading3Char"/>
    <w:autoRedefine/>
    <w:qFormat/>
    <w:rsid w:val="00477E4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77E41"/>
    <w:pPr>
      <w:keepNext/>
      <w:numPr>
        <w:ilvl w:val="3"/>
        <w:numId w:val="1"/>
      </w:numPr>
      <w:tabs>
        <w:tab w:val="left" w:pos="1200"/>
      </w:tabs>
      <w:spacing w:before="120"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477E4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477E4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477E41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77E41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77E4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77E41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477E41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77E41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77E41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77E41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477E41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477E41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77E4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77E41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477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B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B24"/>
    <w:rPr>
      <w:color w:val="605E5C"/>
      <w:shd w:val="clear" w:color="auto" w:fill="E1DFDD"/>
    </w:rPr>
  </w:style>
  <w:style w:type="paragraph" w:customStyle="1" w:styleId="aExamINumss">
    <w:name w:val="aExamINumss"/>
    <w:basedOn w:val="Normal"/>
    <w:rsid w:val="001A1CFC"/>
    <w:pPr>
      <w:tabs>
        <w:tab w:val="left" w:pos="1500"/>
      </w:tabs>
      <w:spacing w:before="60" w:after="0" w:line="240" w:lineRule="auto"/>
      <w:ind w:left="1500" w:hanging="4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act.gov.au/a/2001-14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1529</Characters>
  <Application>Microsoft Office Word</Application>
  <DocSecurity>4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Moxon</dc:creator>
  <cp:lastModifiedBy>Moxon, KarenL</cp:lastModifiedBy>
  <cp:revision>2</cp:revision>
  <cp:lastPrinted>2016-11-07T04:59:00Z</cp:lastPrinted>
  <dcterms:created xsi:type="dcterms:W3CDTF">2022-06-16T05:39:00Z</dcterms:created>
  <dcterms:modified xsi:type="dcterms:W3CDTF">2022-06-16T05:39:00Z</dcterms:modified>
</cp:coreProperties>
</file>